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960" w:type="dxa"/>
        <w:tblCellMar>
          <w:left w:w="70" w:type="dxa"/>
          <w:right w:w="70" w:type="dxa"/>
        </w:tblCellMar>
        <w:tblLook w:val="04A0" w:firstRow="1" w:lastRow="0" w:firstColumn="1" w:lastColumn="0" w:noHBand="0" w:noVBand="1"/>
      </w:tblPr>
      <w:tblGrid>
        <w:gridCol w:w="3100"/>
        <w:gridCol w:w="5020"/>
        <w:gridCol w:w="3840"/>
      </w:tblGrid>
      <w:tr w:rsidR="009E0F88" w:rsidRPr="009E0F88" w:rsidTr="009E0F88">
        <w:trPr>
          <w:trHeight w:val="255"/>
        </w:trPr>
        <w:tc>
          <w:tcPr>
            <w:tcW w:w="8120" w:type="dxa"/>
            <w:gridSpan w:val="2"/>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ahoma" w:eastAsia="Times New Roman" w:hAnsi="Tahoma" w:cs="Tahoma"/>
                <w:b/>
                <w:bCs/>
                <w:color w:val="366092"/>
                <w:sz w:val="20"/>
                <w:szCs w:val="20"/>
                <w:lang w:eastAsia="sl-SI"/>
              </w:rPr>
            </w:pPr>
            <w:bookmarkStart w:id="0" w:name="RANGE!A1:C49"/>
            <w:bookmarkStart w:id="1" w:name="_GoBack"/>
            <w:bookmarkEnd w:id="1"/>
            <w:r w:rsidRPr="009E0F88">
              <w:rPr>
                <w:rFonts w:ascii="Tahoma" w:eastAsia="Times New Roman" w:hAnsi="Tahoma" w:cs="Tahoma"/>
                <w:b/>
                <w:bCs/>
                <w:color w:val="366092"/>
                <w:sz w:val="20"/>
                <w:szCs w:val="20"/>
                <w:lang w:eastAsia="sl-SI"/>
              </w:rPr>
              <w:t>LESTVICA ZA OBRAČUN POTNEGA STROŠKA ZA IZVEDBO MOBILNOSTI *</w:t>
            </w:r>
            <w:bookmarkEnd w:id="0"/>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ahoma" w:eastAsia="Times New Roman" w:hAnsi="Tahoma" w:cs="Tahoma"/>
                <w:b/>
                <w:bCs/>
                <w:color w:val="366092"/>
                <w:sz w:val="20"/>
                <w:szCs w:val="20"/>
                <w:lang w:eastAsia="sl-SI"/>
              </w:rPr>
            </w:pPr>
          </w:p>
        </w:tc>
      </w:tr>
      <w:tr w:rsidR="009E0F88" w:rsidRPr="009E0F88" w:rsidTr="009E0F88">
        <w:trPr>
          <w:trHeight w:val="255"/>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300"/>
        </w:trPr>
        <w:tc>
          <w:tcPr>
            <w:tcW w:w="310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9E0F88" w:rsidRPr="009E0F88" w:rsidRDefault="009E0F88" w:rsidP="009E0F88">
            <w:pPr>
              <w:spacing w:after="0" w:line="240" w:lineRule="auto"/>
              <w:jc w:val="center"/>
              <w:rPr>
                <w:rFonts w:ascii="Tahoma" w:eastAsia="Times New Roman" w:hAnsi="Tahoma" w:cs="Tahoma"/>
                <w:b/>
                <w:bCs/>
                <w:color w:val="000000"/>
                <w:lang w:eastAsia="sl-SI"/>
              </w:rPr>
            </w:pPr>
            <w:r w:rsidRPr="009E0F88">
              <w:rPr>
                <w:rFonts w:ascii="Tahoma" w:eastAsia="Times New Roman" w:hAnsi="Tahoma" w:cs="Tahoma"/>
                <w:b/>
                <w:bCs/>
                <w:color w:val="000000"/>
                <w:lang w:eastAsia="sl-SI"/>
              </w:rPr>
              <w:t>Razdalje</w:t>
            </w:r>
          </w:p>
        </w:tc>
        <w:tc>
          <w:tcPr>
            <w:tcW w:w="5020" w:type="dxa"/>
            <w:tcBorders>
              <w:top w:val="single" w:sz="4" w:space="0" w:color="auto"/>
              <w:left w:val="nil"/>
              <w:bottom w:val="single" w:sz="4" w:space="0" w:color="auto"/>
              <w:right w:val="single" w:sz="4" w:space="0" w:color="auto"/>
            </w:tcBorders>
            <w:shd w:val="clear" w:color="000000" w:fill="C5D9F1"/>
            <w:noWrap/>
            <w:vAlign w:val="bottom"/>
            <w:hideMark/>
          </w:tcPr>
          <w:p w:rsidR="009E0F88" w:rsidRPr="009E0F88" w:rsidRDefault="009E0F88" w:rsidP="009E0F88">
            <w:pPr>
              <w:spacing w:after="0" w:line="240" w:lineRule="auto"/>
              <w:jc w:val="center"/>
              <w:rPr>
                <w:rFonts w:ascii="Tahoma" w:eastAsia="Times New Roman" w:hAnsi="Tahoma" w:cs="Tahoma"/>
                <w:b/>
                <w:bCs/>
                <w:color w:val="000000"/>
                <w:lang w:eastAsia="sl-SI"/>
              </w:rPr>
            </w:pPr>
            <w:r w:rsidRPr="009E0F88">
              <w:rPr>
                <w:rFonts w:ascii="Tahoma" w:eastAsia="Times New Roman" w:hAnsi="Tahoma" w:cs="Tahoma"/>
                <w:b/>
                <w:bCs/>
                <w:color w:val="000000"/>
                <w:lang w:eastAsia="sl-SI"/>
              </w:rPr>
              <w:t>Znesek na udeleženca***</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Tahoma" w:eastAsia="Times New Roman" w:hAnsi="Tahoma" w:cs="Tahoma"/>
                <w:b/>
                <w:bCs/>
                <w:color w:val="000000"/>
                <w:lang w:eastAsia="sl-SI"/>
              </w:rPr>
            </w:pPr>
          </w:p>
        </w:tc>
      </w:tr>
      <w:tr w:rsidR="009E0F88" w:rsidRPr="009E0F88" w:rsidTr="009E0F88">
        <w:trPr>
          <w:trHeight w:val="270"/>
        </w:trPr>
        <w:tc>
          <w:tcPr>
            <w:tcW w:w="310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10 do 99 km</w:t>
            </w:r>
          </w:p>
        </w:tc>
        <w:tc>
          <w:tcPr>
            <w:tcW w:w="5020" w:type="dxa"/>
            <w:tcBorders>
              <w:top w:val="single" w:sz="8" w:space="0" w:color="000000"/>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20,00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100 do 499 km</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180,00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500 do 1.999 km</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275,00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2.000 do 2.999 km</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360,00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3.000 do 3.999 km</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530,00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od 4.000 do 7.999 km</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820,00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sz w:val="20"/>
                <w:szCs w:val="20"/>
                <w:lang w:eastAsia="sl-SI"/>
              </w:rPr>
            </w:pPr>
            <w:r w:rsidRPr="009E0F88">
              <w:rPr>
                <w:rFonts w:ascii="Arial" w:eastAsia="Times New Roman" w:hAnsi="Arial" w:cs="Arial"/>
                <w:sz w:val="20"/>
                <w:szCs w:val="20"/>
                <w:lang w:eastAsia="sl-SI"/>
              </w:rPr>
              <w:t>Za razdalje 8.000 km ali več</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sz w:val="20"/>
                <w:szCs w:val="20"/>
                <w:lang w:eastAsia="sl-SI"/>
              </w:rPr>
            </w:pPr>
            <w:r w:rsidRPr="009E0F88">
              <w:rPr>
                <w:rFonts w:ascii="Arial" w:eastAsia="Times New Roman" w:hAnsi="Arial" w:cs="Arial"/>
                <w:sz w:val="20"/>
                <w:szCs w:val="20"/>
                <w:lang w:eastAsia="sl-SI"/>
              </w:rPr>
              <w:t>1.300,00 EUR</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sz w:val="20"/>
                <w:szCs w:val="20"/>
                <w:lang w:eastAsia="sl-SI"/>
              </w:rPr>
            </w:pPr>
          </w:p>
        </w:tc>
      </w:tr>
      <w:tr w:rsidR="009E0F88" w:rsidRPr="009E0F88" w:rsidTr="009E0F88">
        <w:trPr>
          <w:trHeight w:val="255"/>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8120" w:type="dxa"/>
            <w:gridSpan w:val="2"/>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ahoma" w:eastAsia="Times New Roman" w:hAnsi="Tahoma" w:cs="Tahoma"/>
                <w:b/>
                <w:bCs/>
                <w:color w:val="366092"/>
                <w:sz w:val="20"/>
                <w:szCs w:val="20"/>
                <w:lang w:eastAsia="sl-SI"/>
              </w:rPr>
            </w:pPr>
            <w:r w:rsidRPr="009E0F88">
              <w:rPr>
                <w:rFonts w:ascii="Tahoma" w:eastAsia="Times New Roman" w:hAnsi="Tahoma" w:cs="Tahoma"/>
                <w:b/>
                <w:bCs/>
                <w:color w:val="366092"/>
                <w:sz w:val="20"/>
                <w:szCs w:val="20"/>
                <w:lang w:eastAsia="sl-SI"/>
              </w:rPr>
              <w:t>LESTVICA ZA OBRAČUN STROŠKA BIVANJA  V SKUPINAH DRŽAV **</w:t>
            </w: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ahoma" w:eastAsia="Times New Roman" w:hAnsi="Tahoma" w:cs="Tahoma"/>
                <w:b/>
                <w:bCs/>
                <w:color w:val="366092"/>
                <w:sz w:val="20"/>
                <w:szCs w:val="20"/>
                <w:lang w:eastAsia="sl-SI"/>
              </w:rPr>
            </w:pPr>
          </w:p>
        </w:tc>
      </w:tr>
      <w:tr w:rsidR="009E0F88" w:rsidRPr="009E0F88" w:rsidTr="009E0F88">
        <w:trPr>
          <w:trHeight w:val="270"/>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70"/>
        </w:trPr>
        <w:tc>
          <w:tcPr>
            <w:tcW w:w="3100" w:type="dxa"/>
            <w:tcBorders>
              <w:top w:val="single" w:sz="8" w:space="0" w:color="000000"/>
              <w:left w:val="single" w:sz="8" w:space="0" w:color="000000"/>
              <w:bottom w:val="nil"/>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w:t>
            </w:r>
          </w:p>
        </w:tc>
        <w:tc>
          <w:tcPr>
            <w:tcW w:w="5020" w:type="dxa"/>
            <w:tcBorders>
              <w:top w:val="single" w:sz="8" w:space="0" w:color="000000"/>
              <w:left w:val="nil"/>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xml:space="preserve">Skupine držav gostiteljic </w:t>
            </w:r>
          </w:p>
        </w:tc>
        <w:tc>
          <w:tcPr>
            <w:tcW w:w="3840" w:type="dxa"/>
            <w:tcBorders>
              <w:top w:val="single" w:sz="8" w:space="0" w:color="000000"/>
              <w:left w:val="nil"/>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Znesek (v EUR) na dan za udeleženca</w:t>
            </w:r>
          </w:p>
        </w:tc>
      </w:tr>
      <w:tr w:rsidR="009E0F88" w:rsidRPr="009E0F88" w:rsidTr="009E0F88">
        <w:trPr>
          <w:trHeight w:val="255"/>
        </w:trPr>
        <w:tc>
          <w:tcPr>
            <w:tcW w:w="3100" w:type="dxa"/>
            <w:tcBorders>
              <w:top w:val="nil"/>
              <w:left w:val="single" w:sz="8" w:space="0" w:color="000000"/>
              <w:bottom w:val="nil"/>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A</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112,00</w:t>
            </w:r>
          </w:p>
        </w:tc>
      </w:tr>
      <w:tr w:rsidR="009E0F88" w:rsidRPr="009E0F88" w:rsidTr="009E0F88">
        <w:trPr>
          <w:trHeight w:val="270"/>
        </w:trPr>
        <w:tc>
          <w:tcPr>
            <w:tcW w:w="3100" w:type="dxa"/>
            <w:tcBorders>
              <w:top w:val="nil"/>
              <w:left w:val="single" w:sz="8" w:space="0" w:color="000000"/>
              <w:bottom w:val="nil"/>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 xml:space="preserve">   </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B</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98,00</w:t>
            </w:r>
          </w:p>
        </w:tc>
      </w:tr>
      <w:tr w:rsidR="009E0F88" w:rsidRPr="009E0F88" w:rsidTr="009E0F88">
        <w:trPr>
          <w:trHeight w:val="270"/>
        </w:trPr>
        <w:tc>
          <w:tcPr>
            <w:tcW w:w="3100" w:type="dxa"/>
            <w:tcBorders>
              <w:top w:val="nil"/>
              <w:left w:val="single" w:sz="8" w:space="0" w:color="000000"/>
              <w:bottom w:val="nil"/>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SSE za strošek bivanja</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C</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84,00</w:t>
            </w:r>
          </w:p>
        </w:tc>
      </w:tr>
      <w:tr w:rsidR="009E0F88" w:rsidRPr="009E0F88" w:rsidTr="009E0F88">
        <w:trPr>
          <w:trHeight w:val="270"/>
        </w:trPr>
        <w:tc>
          <w:tcPr>
            <w:tcW w:w="3100" w:type="dxa"/>
            <w:tcBorders>
              <w:top w:val="nil"/>
              <w:left w:val="single" w:sz="8" w:space="0" w:color="000000"/>
              <w:bottom w:val="nil"/>
              <w:right w:val="single" w:sz="8" w:space="0" w:color="000000"/>
            </w:tcBorders>
            <w:shd w:val="clear" w:color="auto" w:fill="auto"/>
            <w:hideMark/>
          </w:tcPr>
          <w:p w:rsidR="009E0F88" w:rsidRPr="009E0F88" w:rsidRDefault="009E0F88" w:rsidP="009E0F88">
            <w:pPr>
              <w:spacing w:after="0" w:line="240" w:lineRule="auto"/>
              <w:rPr>
                <w:rFonts w:ascii="Arial CE" w:eastAsia="Times New Roman" w:hAnsi="Arial CE" w:cs="Arial CE"/>
                <w:sz w:val="20"/>
                <w:szCs w:val="20"/>
                <w:lang w:eastAsia="sl-SI"/>
              </w:rPr>
            </w:pPr>
            <w:r w:rsidRPr="009E0F88">
              <w:rPr>
                <w:rFonts w:ascii="Arial CE" w:eastAsia="Times New Roman" w:hAnsi="Arial CE" w:cs="Arial CE"/>
                <w:sz w:val="20"/>
                <w:szCs w:val="20"/>
                <w:lang w:eastAsia="sl-SI"/>
              </w:rPr>
              <w:t> </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D</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70,00</w:t>
            </w: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auto" w:fill="auto"/>
            <w:hideMark/>
          </w:tcPr>
          <w:p w:rsidR="009E0F88" w:rsidRPr="009E0F88" w:rsidRDefault="009E0F88" w:rsidP="009E0F88">
            <w:pPr>
              <w:spacing w:after="0" w:line="240" w:lineRule="auto"/>
              <w:rPr>
                <w:rFonts w:ascii="Arial CE" w:eastAsia="Times New Roman" w:hAnsi="Arial CE" w:cs="Arial CE"/>
                <w:sz w:val="20"/>
                <w:szCs w:val="20"/>
                <w:lang w:eastAsia="sl-SI"/>
              </w:rPr>
            </w:pPr>
            <w:r w:rsidRPr="009E0F88">
              <w:rPr>
                <w:rFonts w:ascii="Arial CE" w:eastAsia="Times New Roman" w:hAnsi="Arial CE" w:cs="Arial CE"/>
                <w:sz w:val="20"/>
                <w:szCs w:val="20"/>
                <w:lang w:eastAsia="sl-SI"/>
              </w:rPr>
              <w:t> </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E</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112,00</w:t>
            </w:r>
          </w:p>
        </w:tc>
      </w:tr>
      <w:tr w:rsidR="009E0F88" w:rsidRPr="009E0F88" w:rsidTr="009E0F88">
        <w:trPr>
          <w:trHeight w:val="255"/>
        </w:trPr>
        <w:tc>
          <w:tcPr>
            <w:tcW w:w="3100" w:type="dxa"/>
            <w:tcBorders>
              <w:top w:val="nil"/>
              <w:left w:val="nil"/>
              <w:bottom w:val="nil"/>
              <w:right w:val="nil"/>
            </w:tcBorders>
            <w:shd w:val="clear" w:color="auto" w:fill="auto"/>
            <w:noWrap/>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both"/>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70"/>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3100" w:type="dxa"/>
            <w:tcBorders>
              <w:top w:val="single" w:sz="8" w:space="0" w:color="000000"/>
              <w:left w:val="single" w:sz="8" w:space="0" w:color="000000"/>
              <w:bottom w:val="nil"/>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w:t>
            </w:r>
          </w:p>
        </w:tc>
        <w:tc>
          <w:tcPr>
            <w:tcW w:w="5020" w:type="dxa"/>
            <w:vMerge w:val="restart"/>
            <w:tcBorders>
              <w:top w:val="single" w:sz="8" w:space="0" w:color="000000"/>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Države</w:t>
            </w:r>
          </w:p>
        </w:tc>
        <w:tc>
          <w:tcPr>
            <w:tcW w:w="3840" w:type="dxa"/>
            <w:tcBorders>
              <w:top w:val="single" w:sz="8" w:space="0" w:color="000000"/>
              <w:left w:val="nil"/>
              <w:bottom w:val="nil"/>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Znesek</w:t>
            </w: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Skupine držav gostiteljic****</w:t>
            </w:r>
          </w:p>
        </w:tc>
        <w:tc>
          <w:tcPr>
            <w:tcW w:w="5020" w:type="dxa"/>
            <w:vMerge/>
            <w:tcBorders>
              <w:top w:val="single" w:sz="8" w:space="0" w:color="000000"/>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color w:val="000000"/>
                <w:sz w:val="20"/>
                <w:szCs w:val="20"/>
                <w:lang w:eastAsia="sl-SI"/>
              </w:rPr>
            </w:pPr>
          </w:p>
        </w:tc>
        <w:tc>
          <w:tcPr>
            <w:tcW w:w="3840" w:type="dxa"/>
            <w:tcBorders>
              <w:top w:val="nil"/>
              <w:left w:val="nil"/>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(v EUR) na dan za udeleženca</w:t>
            </w:r>
          </w:p>
        </w:tc>
      </w:tr>
      <w:tr w:rsidR="009E0F88" w:rsidRPr="009E0F88" w:rsidTr="009E0F88">
        <w:trPr>
          <w:trHeight w:val="52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A</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 xml:space="preserve">Danska, Irska, Nizozemska, Švedska, Združeno kraljestvo </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112,00 EUR</w:t>
            </w:r>
          </w:p>
        </w:tc>
      </w:tr>
      <w:tr w:rsidR="009E0F88" w:rsidRPr="009E0F88" w:rsidTr="009E0F88">
        <w:trPr>
          <w:trHeight w:val="78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B</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Belgija, Bolgarija, Češka, Grčija, Francija, Italija, Ciper, Luksemburg, Madžarska, Avstrija, Poljska, Romunija, Finska, Islandija, Lihtenštajn, Norveška, Turčija</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98,00 EUR</w:t>
            </w:r>
          </w:p>
        </w:tc>
      </w:tr>
      <w:tr w:rsidR="009E0F88" w:rsidRPr="009E0F88" w:rsidTr="009E0F88">
        <w:trPr>
          <w:trHeight w:val="60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lastRenderedPageBreak/>
              <w:t>C</w:t>
            </w:r>
          </w:p>
        </w:tc>
        <w:tc>
          <w:tcPr>
            <w:tcW w:w="5020" w:type="dxa"/>
            <w:tcBorders>
              <w:top w:val="nil"/>
              <w:left w:val="nil"/>
              <w:bottom w:val="single" w:sz="8" w:space="0" w:color="000000"/>
              <w:right w:val="single" w:sz="8" w:space="0" w:color="000000"/>
            </w:tcBorders>
            <w:shd w:val="clear" w:color="auto" w:fill="auto"/>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 xml:space="preserve">Nemčija, Španija, Latvija, Malta, Portugalska, Slovaška, Nekdanja jugoslovanska republika Makedonija </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84,00 EUR</w:t>
            </w: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D</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Estonija, Hrvaška, Litva</w:t>
            </w:r>
          </w:p>
        </w:tc>
        <w:tc>
          <w:tcPr>
            <w:tcW w:w="384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70,00 EUR</w:t>
            </w:r>
          </w:p>
        </w:tc>
      </w:tr>
      <w:tr w:rsidR="009E0F88" w:rsidRPr="009E0F88" w:rsidTr="009E0F88">
        <w:trPr>
          <w:trHeight w:val="270"/>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3100" w:type="dxa"/>
            <w:tcBorders>
              <w:top w:val="single" w:sz="8" w:space="0" w:color="000000"/>
              <w:left w:val="single" w:sz="8" w:space="0" w:color="000000"/>
              <w:bottom w:val="nil"/>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w:t>
            </w:r>
          </w:p>
        </w:tc>
        <w:tc>
          <w:tcPr>
            <w:tcW w:w="5020" w:type="dxa"/>
            <w:vMerge w:val="restart"/>
            <w:tcBorders>
              <w:top w:val="single" w:sz="8" w:space="0" w:color="000000"/>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Države</w:t>
            </w:r>
          </w:p>
        </w:tc>
        <w:tc>
          <w:tcPr>
            <w:tcW w:w="3840" w:type="dxa"/>
            <w:tcBorders>
              <w:top w:val="single" w:sz="8" w:space="0" w:color="000000"/>
              <w:left w:val="nil"/>
              <w:bottom w:val="nil"/>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Znesek</w:t>
            </w: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Skupine držav gostiteljic E****</w:t>
            </w:r>
          </w:p>
        </w:tc>
        <w:tc>
          <w:tcPr>
            <w:tcW w:w="5020" w:type="dxa"/>
            <w:vMerge/>
            <w:tcBorders>
              <w:top w:val="single" w:sz="8" w:space="0" w:color="000000"/>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color w:val="000000"/>
                <w:sz w:val="20"/>
                <w:szCs w:val="20"/>
                <w:lang w:eastAsia="sl-SI"/>
              </w:rPr>
            </w:pPr>
          </w:p>
        </w:tc>
        <w:tc>
          <w:tcPr>
            <w:tcW w:w="3840" w:type="dxa"/>
            <w:tcBorders>
              <w:top w:val="nil"/>
              <w:left w:val="nil"/>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(v EUR) na dan za udeleženca</w:t>
            </w:r>
          </w:p>
        </w:tc>
      </w:tr>
      <w:tr w:rsidR="009E0F88" w:rsidRPr="009E0F88" w:rsidTr="009E0F88">
        <w:trPr>
          <w:trHeight w:val="270"/>
        </w:trPr>
        <w:tc>
          <w:tcPr>
            <w:tcW w:w="11960" w:type="dxa"/>
            <w:gridSpan w:val="3"/>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color w:val="000000"/>
                <w:sz w:val="20"/>
                <w:szCs w:val="20"/>
                <w:lang w:eastAsia="sl-SI"/>
              </w:rPr>
            </w:pPr>
            <w:r w:rsidRPr="009E0F88">
              <w:rPr>
                <w:rFonts w:ascii="Arial" w:eastAsia="Times New Roman" w:hAnsi="Arial" w:cs="Arial"/>
                <w:b/>
                <w:bCs/>
                <w:color w:val="000000"/>
                <w:sz w:val="20"/>
                <w:szCs w:val="20"/>
                <w:lang w:eastAsia="sl-SI"/>
              </w:rPr>
              <w:t>Sosedske Partnerske države EU</w:t>
            </w:r>
            <w:r w:rsidRPr="009E0F88">
              <w:rPr>
                <w:rFonts w:ascii="Arial" w:eastAsia="Times New Roman" w:hAnsi="Arial" w:cs="Arial"/>
                <w:b/>
                <w:bCs/>
                <w:sz w:val="20"/>
                <w:szCs w:val="20"/>
                <w:lang w:eastAsia="sl-SI"/>
              </w:rPr>
              <w:t xml:space="preserve"> Programa </w:t>
            </w:r>
            <w:proofErr w:type="spellStart"/>
            <w:r w:rsidRPr="009E0F88">
              <w:rPr>
                <w:rFonts w:ascii="Arial" w:eastAsia="Times New Roman" w:hAnsi="Arial" w:cs="Arial"/>
                <w:b/>
                <w:bCs/>
                <w:sz w:val="20"/>
                <w:szCs w:val="20"/>
                <w:lang w:eastAsia="sl-SI"/>
              </w:rPr>
              <w:t>Erasmus</w:t>
            </w:r>
            <w:proofErr w:type="spellEnd"/>
            <w:r w:rsidRPr="009E0F88">
              <w:rPr>
                <w:rFonts w:ascii="Arial" w:eastAsia="Times New Roman" w:hAnsi="Arial" w:cs="Arial"/>
                <w:b/>
                <w:bCs/>
                <w:sz w:val="20"/>
                <w:szCs w:val="20"/>
                <w:lang w:eastAsia="sl-SI"/>
              </w:rPr>
              <w:t>+</w:t>
            </w:r>
          </w:p>
        </w:tc>
      </w:tr>
      <w:tr w:rsidR="009E0F88" w:rsidRPr="009E0F88" w:rsidTr="009E0F88">
        <w:trPr>
          <w:trHeight w:val="450"/>
        </w:trPr>
        <w:tc>
          <w:tcPr>
            <w:tcW w:w="11960" w:type="dxa"/>
            <w:gridSpan w:val="3"/>
            <w:vMerge/>
            <w:tcBorders>
              <w:top w:val="single" w:sz="8" w:space="0" w:color="000000"/>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color w:val="000000"/>
                <w:sz w:val="20"/>
                <w:szCs w:val="20"/>
                <w:lang w:eastAsia="sl-SI"/>
              </w:rPr>
            </w:pPr>
          </w:p>
        </w:tc>
      </w:tr>
      <w:tr w:rsidR="009E0F88" w:rsidRPr="009E0F88" w:rsidTr="009E0F88">
        <w:trPr>
          <w:trHeight w:val="52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1 (Zahodni Balkan)</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both"/>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Albanija, Bosna in Hercegovina, Kosovo, Črna  Gora, Srbija</w:t>
            </w:r>
          </w:p>
        </w:tc>
        <w:tc>
          <w:tcPr>
            <w:tcW w:w="3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112,00 EUR</w:t>
            </w:r>
          </w:p>
        </w:tc>
      </w:tr>
      <w:tr w:rsidR="009E0F88" w:rsidRPr="009E0F88" w:rsidTr="009E0F88">
        <w:trPr>
          <w:trHeight w:val="76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2 (Države vzhodnega partnerstva)</w:t>
            </w:r>
          </w:p>
        </w:tc>
        <w:tc>
          <w:tcPr>
            <w:tcW w:w="5020" w:type="dxa"/>
            <w:tcBorders>
              <w:top w:val="nil"/>
              <w:left w:val="nil"/>
              <w:bottom w:val="single" w:sz="8" w:space="0" w:color="000000"/>
              <w:right w:val="single" w:sz="8" w:space="0" w:color="000000"/>
            </w:tcBorders>
            <w:shd w:val="clear" w:color="auto" w:fill="auto"/>
            <w:hideMark/>
          </w:tcPr>
          <w:p w:rsidR="009E0F88" w:rsidRPr="009E0F88" w:rsidRDefault="009E0F88" w:rsidP="009E0F88">
            <w:pPr>
              <w:spacing w:after="0" w:line="240" w:lineRule="auto"/>
              <w:jc w:val="both"/>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 xml:space="preserve">Armenija, Azerbajdžan, Belorusija, Gruzija, Moldavija, ozemlje Ukrajine, kot je priznano z mednarodnim pravom </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52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3 (Države južnega Sredozemlja)</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both"/>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Alžirija, Egipt, Izrael, Jordanija, Libanon, Libija, Maroko, Palestina, Sirija, Tunizija</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4 (Ruska federacija)</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both"/>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ozemlje Rusije, kot je priznano z mednarodnim pravom</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255"/>
        </w:trPr>
        <w:tc>
          <w:tcPr>
            <w:tcW w:w="11960" w:type="dxa"/>
            <w:gridSpan w:val="3"/>
            <w:tcBorders>
              <w:top w:val="single" w:sz="8" w:space="0" w:color="000000"/>
              <w:left w:val="single" w:sz="8" w:space="0" w:color="000000"/>
              <w:bottom w:val="nil"/>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xml:space="preserve">Druge Partnerske države Programa </w:t>
            </w:r>
            <w:proofErr w:type="spellStart"/>
            <w:r w:rsidRPr="009E0F88">
              <w:rPr>
                <w:rFonts w:ascii="Arial" w:eastAsia="Times New Roman" w:hAnsi="Arial" w:cs="Arial"/>
                <w:b/>
                <w:bCs/>
                <w:sz w:val="20"/>
                <w:szCs w:val="20"/>
                <w:lang w:eastAsia="sl-SI"/>
              </w:rPr>
              <w:t>Erasmus</w:t>
            </w:r>
            <w:proofErr w:type="spellEnd"/>
            <w:r w:rsidRPr="009E0F88">
              <w:rPr>
                <w:rFonts w:ascii="Arial" w:eastAsia="Times New Roman" w:hAnsi="Arial" w:cs="Arial"/>
                <w:b/>
                <w:bCs/>
                <w:sz w:val="20"/>
                <w:szCs w:val="20"/>
                <w:lang w:eastAsia="sl-SI"/>
              </w:rPr>
              <w:t>+, razen partnerskih držav regije 5 in 12</w:t>
            </w:r>
          </w:p>
        </w:tc>
      </w:tr>
      <w:tr w:rsidR="009E0F88" w:rsidRPr="009E0F88" w:rsidTr="009E0F88">
        <w:trPr>
          <w:trHeight w:val="270"/>
        </w:trPr>
        <w:tc>
          <w:tcPr>
            <w:tcW w:w="11960" w:type="dxa"/>
            <w:gridSpan w:val="3"/>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 </w:t>
            </w:r>
          </w:p>
        </w:tc>
      </w:tr>
      <w:tr w:rsidR="009E0F88" w:rsidRPr="009E0F88" w:rsidTr="009E0F88">
        <w:trPr>
          <w:trHeight w:val="108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6 (Azija)</w:t>
            </w:r>
          </w:p>
        </w:tc>
        <w:tc>
          <w:tcPr>
            <w:tcW w:w="5020" w:type="dxa"/>
            <w:tcBorders>
              <w:top w:val="nil"/>
              <w:left w:val="nil"/>
              <w:bottom w:val="single" w:sz="8" w:space="0" w:color="000000"/>
              <w:right w:val="single" w:sz="8" w:space="0" w:color="000000"/>
            </w:tcBorders>
            <w:shd w:val="clear" w:color="auto" w:fill="auto"/>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Afganistan, Bangladeš, Butan, Kambodža, Kitajska, Demokratična ljudska republika Koreja, Indija, Indonezija, Laos, Malezija, Maldivi, Mongolija, Mjanmar, Nepal, Pakistan, Filipini, Šrilanka, Tajska in Vietnam</w:t>
            </w:r>
          </w:p>
        </w:tc>
        <w:tc>
          <w:tcPr>
            <w:tcW w:w="38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jc w:val="center"/>
              <w:rPr>
                <w:rFonts w:ascii="Arial" w:eastAsia="Times New Roman" w:hAnsi="Arial" w:cs="Arial"/>
                <w:b/>
                <w:bCs/>
                <w:sz w:val="20"/>
                <w:szCs w:val="20"/>
                <w:lang w:eastAsia="sl-SI"/>
              </w:rPr>
            </w:pPr>
            <w:r w:rsidRPr="009E0F88">
              <w:rPr>
                <w:rFonts w:ascii="Arial" w:eastAsia="Times New Roman" w:hAnsi="Arial" w:cs="Arial"/>
                <w:b/>
                <w:bCs/>
                <w:sz w:val="20"/>
                <w:szCs w:val="20"/>
                <w:lang w:eastAsia="sl-SI"/>
              </w:rPr>
              <w:t>112,00 EUR</w:t>
            </w:r>
          </w:p>
        </w:tc>
      </w:tr>
      <w:tr w:rsidR="009E0F88" w:rsidRPr="009E0F88" w:rsidTr="009E0F88">
        <w:trPr>
          <w:trHeight w:val="52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7 (Osrednja Azija)</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Kazahstan, Kirgizistan, Tadžikistan, Turkmenistan, Uzbekistan</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840"/>
        </w:trPr>
        <w:tc>
          <w:tcPr>
            <w:tcW w:w="3100" w:type="dxa"/>
            <w:tcBorders>
              <w:top w:val="nil"/>
              <w:left w:val="single" w:sz="8" w:space="0" w:color="000000"/>
              <w:bottom w:val="nil"/>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8 (Latinska Amerika)</w:t>
            </w:r>
          </w:p>
        </w:tc>
        <w:tc>
          <w:tcPr>
            <w:tcW w:w="5020" w:type="dxa"/>
            <w:tcBorders>
              <w:top w:val="nil"/>
              <w:left w:val="nil"/>
              <w:bottom w:val="nil"/>
              <w:right w:val="single" w:sz="8" w:space="0" w:color="000000"/>
            </w:tcBorders>
            <w:shd w:val="clear" w:color="auto" w:fill="auto"/>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Argentina, Bolivija, Brazilija, Čile, Kolumbija, Kostarika, Kuba, Ekvador, Salvador, Gvatemala, Honduras, Mehika, Nikaragva, Panama, Paragvaj, Peru, Urugvaj, Venezuela</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375"/>
        </w:trPr>
        <w:tc>
          <w:tcPr>
            <w:tcW w:w="3100" w:type="dxa"/>
            <w:tcBorders>
              <w:top w:val="single" w:sz="8" w:space="0" w:color="auto"/>
              <w:left w:val="single" w:sz="8" w:space="0" w:color="auto"/>
              <w:bottom w:val="single" w:sz="8" w:space="0" w:color="auto"/>
              <w:right w:val="nil"/>
            </w:tcBorders>
            <w:shd w:val="clear" w:color="000000" w:fill="B8CCE4"/>
            <w:noWrap/>
            <w:vAlign w:val="bottom"/>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9</w:t>
            </w:r>
          </w:p>
        </w:tc>
        <w:tc>
          <w:tcPr>
            <w:tcW w:w="5020" w:type="dxa"/>
            <w:tcBorders>
              <w:top w:val="single" w:sz="8" w:space="0" w:color="auto"/>
              <w:left w:val="single" w:sz="8" w:space="0" w:color="000000"/>
              <w:bottom w:val="single" w:sz="8" w:space="0" w:color="auto"/>
              <w:right w:val="single" w:sz="8" w:space="0" w:color="auto"/>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Iran, Irak, Jemen</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27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10</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Južna Afrika</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4635"/>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lastRenderedPageBreak/>
              <w:t>Regija 11 (AKP)</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 xml:space="preserve">Angola, Antigva in Barbuda, Bahami, Barbados, Belize, Benin, Bocvana, Burkina Faso, Burundi, Kamerun, Zelenortski otoki, Srednjeafriška republika, Čad, Komori, Kongo, Demokratična republika Kongo, Cookovi otoki, Džibuti, Dominika, Dominikanska republika, Ekvatorialna Gvineja, Eritreja, Etiopija, Fidži, Gabon, Gambija, Gana, Grenada,  Gvineja, Gvineja Bissau, Gvajana, Haiti, Slonokoščena obala, Jamajka, Kenija, Kiribati, Lesoto, Liberija, Madagaskar, Malavi, Mali, Marshallovi otoki, Mavretanija, Mauritius, Federalne države Mikronezije, Mozambik, Namibija, Nauru, Niger, Nigerija, </w:t>
            </w:r>
            <w:proofErr w:type="spellStart"/>
            <w:r w:rsidRPr="009E0F88">
              <w:rPr>
                <w:rFonts w:ascii="Arial" w:eastAsia="Times New Roman" w:hAnsi="Arial" w:cs="Arial"/>
                <w:color w:val="000000"/>
                <w:sz w:val="20"/>
                <w:szCs w:val="20"/>
                <w:lang w:eastAsia="sl-SI"/>
              </w:rPr>
              <w:t>Niue</w:t>
            </w:r>
            <w:proofErr w:type="spellEnd"/>
            <w:r w:rsidRPr="009E0F88">
              <w:rPr>
                <w:rFonts w:ascii="Arial" w:eastAsia="Times New Roman" w:hAnsi="Arial" w:cs="Arial"/>
                <w:color w:val="000000"/>
                <w:sz w:val="20"/>
                <w:szCs w:val="20"/>
                <w:lang w:eastAsia="sl-SI"/>
              </w:rPr>
              <w:t xml:space="preserve">, Palau, Papua Nova Gvineja, Ruanda, </w:t>
            </w:r>
            <w:proofErr w:type="spellStart"/>
            <w:r w:rsidRPr="009E0F88">
              <w:rPr>
                <w:rFonts w:ascii="Arial" w:eastAsia="Times New Roman" w:hAnsi="Arial" w:cs="Arial"/>
                <w:color w:val="000000"/>
                <w:sz w:val="20"/>
                <w:szCs w:val="20"/>
                <w:lang w:eastAsia="sl-SI"/>
              </w:rPr>
              <w:t>Saint</w:t>
            </w:r>
            <w:proofErr w:type="spellEnd"/>
            <w:r w:rsidRPr="009E0F88">
              <w:rPr>
                <w:rFonts w:ascii="Arial" w:eastAsia="Times New Roman" w:hAnsi="Arial" w:cs="Arial"/>
                <w:color w:val="000000"/>
                <w:sz w:val="20"/>
                <w:szCs w:val="20"/>
                <w:lang w:eastAsia="sl-SI"/>
              </w:rPr>
              <w:t xml:space="preserve"> Kitts in Nevis, Sveta Lucija, Sveti Vincent in Grenadine, Samoa, Sao Tome in Principe, Senegal, Sejšeli, Sierra Leone, Salomonovi otoki, Somalija, Južni Sudan, Sudan, Surinam, Svazi, Demokratična republika vzhodni Timor, Tanzanija Togo, Tonga, Trinidad in Tobago, Tuvalu, Uganda, Vanuatu, Zambija, Zimbabve  </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780"/>
        </w:trPr>
        <w:tc>
          <w:tcPr>
            <w:tcW w:w="3100" w:type="dxa"/>
            <w:tcBorders>
              <w:top w:val="nil"/>
              <w:left w:val="single" w:sz="8" w:space="0" w:color="000000"/>
              <w:bottom w:val="single" w:sz="8" w:space="0" w:color="000000"/>
              <w:right w:val="single" w:sz="8" w:space="0" w:color="000000"/>
            </w:tcBorders>
            <w:shd w:val="clear" w:color="000000" w:fill="C5D9F1"/>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Regija 13 (Druge industrializirane države)</w:t>
            </w:r>
          </w:p>
        </w:tc>
        <w:tc>
          <w:tcPr>
            <w:tcW w:w="5020" w:type="dxa"/>
            <w:tcBorders>
              <w:top w:val="nil"/>
              <w:left w:val="nil"/>
              <w:bottom w:val="single" w:sz="8" w:space="0" w:color="000000"/>
              <w:right w:val="single" w:sz="8" w:space="0" w:color="000000"/>
            </w:tcBorders>
            <w:shd w:val="clear" w:color="auto" w:fill="auto"/>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r w:rsidRPr="009E0F88">
              <w:rPr>
                <w:rFonts w:ascii="Arial" w:eastAsia="Times New Roman" w:hAnsi="Arial" w:cs="Arial"/>
                <w:color w:val="000000"/>
                <w:sz w:val="20"/>
                <w:szCs w:val="20"/>
                <w:lang w:eastAsia="sl-SI"/>
              </w:rPr>
              <w:t>Avstralija, Brunej, Kanada, Hongkong, Japonska, (Republika) Koreja, Macao, Nova Zelandija, Singapur, Tajvan, Združene države Amerike</w:t>
            </w:r>
          </w:p>
        </w:tc>
        <w:tc>
          <w:tcPr>
            <w:tcW w:w="3840" w:type="dxa"/>
            <w:vMerge/>
            <w:tcBorders>
              <w:top w:val="nil"/>
              <w:left w:val="single" w:sz="8" w:space="0" w:color="000000"/>
              <w:bottom w:val="single" w:sz="8" w:space="0" w:color="000000"/>
              <w:right w:val="single" w:sz="8" w:space="0" w:color="000000"/>
            </w:tcBorders>
            <w:vAlign w:val="center"/>
            <w:hideMark/>
          </w:tcPr>
          <w:p w:rsidR="009E0F88" w:rsidRPr="009E0F88" w:rsidRDefault="009E0F88" w:rsidP="009E0F88">
            <w:pPr>
              <w:spacing w:after="0" w:line="240" w:lineRule="auto"/>
              <w:rPr>
                <w:rFonts w:ascii="Arial" w:eastAsia="Times New Roman" w:hAnsi="Arial" w:cs="Arial"/>
                <w:b/>
                <w:bCs/>
                <w:sz w:val="20"/>
                <w:szCs w:val="20"/>
                <w:lang w:eastAsia="sl-SI"/>
              </w:rPr>
            </w:pPr>
          </w:p>
        </w:tc>
      </w:tr>
      <w:tr w:rsidR="009E0F88" w:rsidRPr="009E0F88" w:rsidTr="009E0F88">
        <w:trPr>
          <w:trHeight w:val="255"/>
        </w:trPr>
        <w:tc>
          <w:tcPr>
            <w:tcW w:w="3100" w:type="dxa"/>
            <w:tcBorders>
              <w:top w:val="nil"/>
              <w:left w:val="nil"/>
              <w:bottom w:val="nil"/>
              <w:right w:val="nil"/>
            </w:tcBorders>
            <w:shd w:val="clear" w:color="auto" w:fill="auto"/>
            <w:noWrap/>
            <w:vAlign w:val="center"/>
            <w:hideMark/>
          </w:tcPr>
          <w:p w:rsidR="009E0F88" w:rsidRPr="009E0F88" w:rsidRDefault="009E0F88" w:rsidP="009E0F88">
            <w:pPr>
              <w:spacing w:after="0" w:line="240" w:lineRule="auto"/>
              <w:rPr>
                <w:rFonts w:ascii="Arial" w:eastAsia="Times New Roman" w:hAnsi="Arial" w:cs="Arial"/>
                <w:color w:val="000000"/>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jc w:val="both"/>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310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502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c>
          <w:tcPr>
            <w:tcW w:w="3840" w:type="dxa"/>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imes New Roman" w:eastAsia="Times New Roman" w:hAnsi="Times New Roman" w:cs="Times New Roman"/>
                <w:sz w:val="20"/>
                <w:szCs w:val="20"/>
                <w:lang w:eastAsia="sl-SI"/>
              </w:rPr>
            </w:pPr>
          </w:p>
        </w:tc>
      </w:tr>
      <w:tr w:rsidR="009E0F88" w:rsidRPr="009E0F88" w:rsidTr="009E0F88">
        <w:trPr>
          <w:trHeight w:val="255"/>
        </w:trPr>
        <w:tc>
          <w:tcPr>
            <w:tcW w:w="11960" w:type="dxa"/>
            <w:gridSpan w:val="3"/>
            <w:tcBorders>
              <w:top w:val="nil"/>
              <w:left w:val="nil"/>
              <w:bottom w:val="nil"/>
              <w:right w:val="nil"/>
            </w:tcBorders>
            <w:shd w:val="clear" w:color="auto" w:fill="auto"/>
            <w:noWrap/>
            <w:vAlign w:val="bottom"/>
            <w:hideMark/>
          </w:tcPr>
          <w:p w:rsidR="009E0F88" w:rsidRPr="009E0F88" w:rsidRDefault="009E0F88" w:rsidP="009E0F88">
            <w:pPr>
              <w:spacing w:after="0" w:line="240" w:lineRule="auto"/>
              <w:rPr>
                <w:rFonts w:ascii="Tahoma" w:eastAsia="Times New Roman" w:hAnsi="Tahoma" w:cs="Tahoma"/>
                <w:sz w:val="20"/>
                <w:szCs w:val="20"/>
                <w:lang w:eastAsia="sl-SI"/>
              </w:rPr>
            </w:pPr>
            <w:r w:rsidRPr="009E0F88">
              <w:rPr>
                <w:rFonts w:ascii="Tahoma" w:eastAsia="Times New Roman" w:hAnsi="Tahoma" w:cs="Tahoma"/>
                <w:sz w:val="20"/>
                <w:szCs w:val="20"/>
                <w:lang w:eastAsia="sl-SI"/>
              </w:rPr>
              <w:t>*Razdaljo enosmerne poti je treba uporabiti za izračun zneska dotacije EU za kritje povratne poti.</w:t>
            </w:r>
          </w:p>
        </w:tc>
      </w:tr>
    </w:tbl>
    <w:p w:rsidR="00567362" w:rsidRPr="009E0F88" w:rsidRDefault="00567362" w:rsidP="009E0F88"/>
    <w:sectPr w:rsidR="00567362" w:rsidRPr="009E0F88" w:rsidSect="008B4F3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88"/>
    <w:rsid w:val="00567362"/>
    <w:rsid w:val="008B4F38"/>
    <w:rsid w:val="009E0F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35BB7-6009-4F53-BD09-0E99DF85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4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3080</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Rajšelj, Sabina</dc:creator>
  <cp:keywords/>
  <dc:description/>
  <cp:lastModifiedBy>Rajšelj, Sabina</cp:lastModifiedBy>
  <cp:revision>2</cp:revision>
  <dcterms:created xsi:type="dcterms:W3CDTF">2017-05-11T06:20:00Z</dcterms:created>
  <dcterms:modified xsi:type="dcterms:W3CDTF">2017-05-11T06:28:00Z</dcterms:modified>
</cp:coreProperties>
</file>